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57" w:rsidRPr="007C2702" w:rsidRDefault="00487957" w:rsidP="00487957">
      <w:pPr>
        <w:jc w:val="center"/>
        <w:rPr>
          <w:rFonts w:ascii="Segoe UI Black" w:hAnsi="Segoe UI Black"/>
          <w:b/>
          <w:sz w:val="28"/>
        </w:rPr>
      </w:pPr>
      <w:r w:rsidRPr="007C2702">
        <w:rPr>
          <w:rFonts w:ascii="Segoe UI Black" w:hAnsi="Segoe UI Black"/>
          <w:b/>
          <w:sz w:val="28"/>
        </w:rPr>
        <w:t>La fiscalité des associati</w:t>
      </w:r>
      <w:bookmarkStart w:id="0" w:name="_GoBack"/>
      <w:bookmarkEnd w:id="0"/>
      <w:r w:rsidRPr="007C2702">
        <w:rPr>
          <w:rFonts w:ascii="Segoe UI Black" w:hAnsi="Segoe UI Black"/>
          <w:b/>
          <w:sz w:val="28"/>
        </w:rPr>
        <w:t>ons, les facteurs de risque</w:t>
      </w:r>
    </w:p>
    <w:p w:rsidR="00487957" w:rsidRPr="001A6CDF" w:rsidRDefault="00487957" w:rsidP="00487957">
      <w:pPr>
        <w:rPr>
          <w:b/>
          <w:color w:val="548DD4" w:themeColor="text2" w:themeTint="99"/>
          <w:sz w:val="24"/>
        </w:rPr>
      </w:pPr>
      <w:r w:rsidRPr="001A6CDF">
        <w:rPr>
          <w:b/>
          <w:color w:val="548DD4" w:themeColor="text2" w:themeTint="99"/>
          <w:sz w:val="24"/>
        </w:rPr>
        <w:t>Objectifs de la formation</w:t>
      </w:r>
    </w:p>
    <w:p w:rsidR="00487957" w:rsidRDefault="00487957" w:rsidP="00487957">
      <w:pPr>
        <w:pStyle w:val="Paragraphedeliste"/>
        <w:numPr>
          <w:ilvl w:val="0"/>
          <w:numId w:val="2"/>
        </w:numPr>
      </w:pPr>
      <w:r>
        <w:t xml:space="preserve">Connaître les principales obligations fiscales et spécificités propres aux associations. </w:t>
      </w:r>
    </w:p>
    <w:p w:rsidR="00487957" w:rsidRDefault="00487957" w:rsidP="00487957">
      <w:pPr>
        <w:pStyle w:val="Paragraphedeliste"/>
        <w:numPr>
          <w:ilvl w:val="0"/>
          <w:numId w:val="2"/>
        </w:numPr>
      </w:pPr>
      <w:r>
        <w:t>Le secteur associatif a des spécificités fiscales qui lui sont propres, cette formation vous permettra de vous initier à ces règles afin de ne pas faire prendre de risque aux associations</w:t>
      </w:r>
    </w:p>
    <w:p w:rsidR="000D6F75" w:rsidRPr="001A6CDF" w:rsidRDefault="000D6F75" w:rsidP="00487957">
      <w:pPr>
        <w:rPr>
          <w:b/>
          <w:color w:val="548DD4" w:themeColor="text2" w:themeTint="99"/>
          <w:sz w:val="24"/>
        </w:rPr>
      </w:pPr>
      <w:r w:rsidRPr="001A6CDF">
        <w:rPr>
          <w:b/>
          <w:color w:val="548DD4" w:themeColor="text2" w:themeTint="99"/>
          <w:sz w:val="24"/>
        </w:rPr>
        <w:t>Les + de la formation</w:t>
      </w:r>
    </w:p>
    <w:p w:rsidR="000D6F75" w:rsidRDefault="000D6F75" w:rsidP="000D6F75">
      <w:pPr>
        <w:pStyle w:val="Paragraphedeliste"/>
        <w:numPr>
          <w:ilvl w:val="0"/>
          <w:numId w:val="2"/>
        </w:numPr>
      </w:pPr>
      <w:r>
        <w:t>Exercices en cours de formation au fur et à mesure de la présentation des différents points</w:t>
      </w:r>
    </w:p>
    <w:p w:rsidR="000D6F75" w:rsidRDefault="000D6F75" w:rsidP="000D6F75">
      <w:pPr>
        <w:pStyle w:val="Paragraphedeliste"/>
        <w:numPr>
          <w:ilvl w:val="0"/>
          <w:numId w:val="2"/>
        </w:numPr>
      </w:pPr>
      <w:r>
        <w:t>Remise en fin de formation d’un mémorandum des principales zones de risques fiscales à identifier lors de l’analyse du dossier d’une association</w:t>
      </w:r>
    </w:p>
    <w:p w:rsidR="00487957" w:rsidRPr="001A6CDF" w:rsidRDefault="00487957" w:rsidP="00487957">
      <w:pPr>
        <w:rPr>
          <w:b/>
          <w:color w:val="548DD4" w:themeColor="text2" w:themeTint="99"/>
          <w:sz w:val="24"/>
        </w:rPr>
      </w:pPr>
      <w:r w:rsidRPr="001A6CDF">
        <w:rPr>
          <w:b/>
          <w:color w:val="548DD4" w:themeColor="text2" w:themeTint="99"/>
          <w:sz w:val="24"/>
        </w:rPr>
        <w:t xml:space="preserve">Prérequis : </w:t>
      </w:r>
    </w:p>
    <w:p w:rsidR="00487957" w:rsidRDefault="00487957" w:rsidP="00487957">
      <w:pPr>
        <w:pStyle w:val="Paragraphedeliste"/>
        <w:numPr>
          <w:ilvl w:val="0"/>
          <w:numId w:val="3"/>
        </w:numPr>
      </w:pPr>
      <w:r>
        <w:t>Aucun pré requis n'est nécessaire</w:t>
      </w:r>
    </w:p>
    <w:p w:rsidR="00487957" w:rsidRPr="001A6CDF" w:rsidRDefault="00487957" w:rsidP="00487957">
      <w:pPr>
        <w:rPr>
          <w:b/>
          <w:color w:val="548DD4" w:themeColor="text2" w:themeTint="99"/>
          <w:sz w:val="24"/>
        </w:rPr>
      </w:pPr>
      <w:r w:rsidRPr="001A6CDF">
        <w:rPr>
          <w:b/>
          <w:color w:val="548DD4" w:themeColor="text2" w:themeTint="99"/>
          <w:sz w:val="24"/>
        </w:rPr>
        <w:t>Programme de la formation :</w:t>
      </w:r>
    </w:p>
    <w:p w:rsidR="00487957" w:rsidRPr="001A6CDF" w:rsidRDefault="00487957" w:rsidP="00DF7309">
      <w:pPr>
        <w:ind w:left="360"/>
        <w:rPr>
          <w:b/>
          <w:color w:val="E36C0A" w:themeColor="accent6" w:themeShade="BF"/>
        </w:rPr>
      </w:pPr>
      <w:r w:rsidRPr="001A6CDF">
        <w:rPr>
          <w:b/>
          <w:color w:val="E36C0A" w:themeColor="accent6" w:themeShade="BF"/>
        </w:rPr>
        <w:t xml:space="preserve">Comprendre de manière synthétique les comptes de votre association et identifier où sont </w:t>
      </w:r>
      <w:proofErr w:type="gramStart"/>
      <w:r w:rsidRPr="001A6CDF">
        <w:rPr>
          <w:b/>
          <w:color w:val="E36C0A" w:themeColor="accent6" w:themeShade="BF"/>
        </w:rPr>
        <w:t>comptabilisés</w:t>
      </w:r>
      <w:proofErr w:type="gramEnd"/>
      <w:r w:rsidRPr="001A6CDF">
        <w:rPr>
          <w:b/>
          <w:color w:val="E36C0A" w:themeColor="accent6" w:themeShade="BF"/>
        </w:rPr>
        <w:t xml:space="preserve"> les impôts et taxes</w:t>
      </w:r>
    </w:p>
    <w:p w:rsidR="00487957" w:rsidRPr="001A6CDF" w:rsidRDefault="00487957" w:rsidP="00DF7309">
      <w:pPr>
        <w:ind w:left="360"/>
        <w:rPr>
          <w:b/>
          <w:color w:val="E36C0A" w:themeColor="accent6" w:themeShade="BF"/>
        </w:rPr>
      </w:pPr>
      <w:r w:rsidRPr="001A6CDF">
        <w:rPr>
          <w:b/>
          <w:color w:val="E36C0A" w:themeColor="accent6" w:themeShade="BF"/>
        </w:rPr>
        <w:t xml:space="preserve">Rappels fiscaux </w:t>
      </w:r>
    </w:p>
    <w:p w:rsidR="00487957" w:rsidRDefault="00487957" w:rsidP="00DF7309">
      <w:pPr>
        <w:pStyle w:val="Paragraphedeliste"/>
        <w:numPr>
          <w:ilvl w:val="0"/>
          <w:numId w:val="3"/>
        </w:numPr>
        <w:ind w:left="1080"/>
      </w:pPr>
      <w:r>
        <w:t xml:space="preserve">Présentation ou rappels des principaux impôts </w:t>
      </w:r>
    </w:p>
    <w:p w:rsidR="00487957" w:rsidRDefault="00487957" w:rsidP="00DF7309">
      <w:pPr>
        <w:pStyle w:val="Paragraphedeliste"/>
        <w:numPr>
          <w:ilvl w:val="0"/>
          <w:numId w:val="3"/>
        </w:numPr>
        <w:ind w:left="1080"/>
      </w:pPr>
      <w:r>
        <w:t xml:space="preserve">Savoir où trouver l’information sur la fiscalité des associations. </w:t>
      </w:r>
    </w:p>
    <w:p w:rsidR="00487957" w:rsidRPr="001A6CDF" w:rsidRDefault="00487957" w:rsidP="00DF7309">
      <w:pPr>
        <w:ind w:left="360"/>
        <w:rPr>
          <w:b/>
          <w:color w:val="E36C0A" w:themeColor="accent6" w:themeShade="BF"/>
        </w:rPr>
      </w:pPr>
      <w:r w:rsidRPr="001A6CDF">
        <w:rPr>
          <w:b/>
          <w:color w:val="E36C0A" w:themeColor="accent6" w:themeShade="BF"/>
        </w:rPr>
        <w:t xml:space="preserve">L’association est-elle fiscalisée : </w:t>
      </w:r>
    </w:p>
    <w:p w:rsidR="00083687" w:rsidRDefault="00083687" w:rsidP="00083687">
      <w:pPr>
        <w:pStyle w:val="Paragraphedeliste"/>
        <w:numPr>
          <w:ilvl w:val="0"/>
          <w:numId w:val="4"/>
        </w:numPr>
        <w:ind w:left="1080"/>
      </w:pPr>
      <w:r>
        <w:t xml:space="preserve">Définition de  l’intérêt général </w:t>
      </w:r>
    </w:p>
    <w:p w:rsidR="00083687" w:rsidRDefault="00083687" w:rsidP="00083687">
      <w:pPr>
        <w:pStyle w:val="Paragraphedeliste"/>
        <w:numPr>
          <w:ilvl w:val="1"/>
          <w:numId w:val="4"/>
        </w:numPr>
        <w:ind w:left="1800"/>
      </w:pPr>
      <w:r>
        <w:t xml:space="preserve">Gestion désintéressée (dont la rémunération des dirigeants) </w:t>
      </w:r>
    </w:p>
    <w:p w:rsidR="00083687" w:rsidRDefault="00083687" w:rsidP="00083687">
      <w:pPr>
        <w:pStyle w:val="Paragraphedeliste"/>
        <w:numPr>
          <w:ilvl w:val="1"/>
          <w:numId w:val="4"/>
        </w:numPr>
        <w:ind w:left="1800"/>
      </w:pPr>
      <w:r>
        <w:t>La concurrence avec le secteur marchand</w:t>
      </w:r>
    </w:p>
    <w:p w:rsidR="00083687" w:rsidRDefault="00083687" w:rsidP="00083687">
      <w:pPr>
        <w:pStyle w:val="Paragraphedeliste"/>
        <w:numPr>
          <w:ilvl w:val="1"/>
          <w:numId w:val="4"/>
        </w:numPr>
        <w:ind w:left="1800"/>
      </w:pPr>
      <w:r>
        <w:t xml:space="preserve">La règle des 4 P </w:t>
      </w:r>
    </w:p>
    <w:p w:rsidR="00083687" w:rsidRDefault="00083687" w:rsidP="00083687">
      <w:pPr>
        <w:pStyle w:val="Paragraphedeliste"/>
        <w:numPr>
          <w:ilvl w:val="1"/>
          <w:numId w:val="4"/>
        </w:numPr>
        <w:ind w:left="1800"/>
      </w:pPr>
      <w:r>
        <w:t>Ne pas agir au profit d’un cercle restreint</w:t>
      </w:r>
    </w:p>
    <w:p w:rsidR="00487957" w:rsidRDefault="00487957" w:rsidP="00DF7309">
      <w:pPr>
        <w:pStyle w:val="Paragraphedeliste"/>
        <w:numPr>
          <w:ilvl w:val="0"/>
          <w:numId w:val="4"/>
        </w:numPr>
        <w:ind w:left="1080"/>
      </w:pPr>
      <w:r>
        <w:t>Connaître la méthodologie afin d’identifier si votre association doit être fiscalisée ou non</w:t>
      </w:r>
    </w:p>
    <w:p w:rsidR="00487957" w:rsidRDefault="00487957" w:rsidP="00DF7309">
      <w:pPr>
        <w:pStyle w:val="Paragraphedeliste"/>
        <w:numPr>
          <w:ilvl w:val="0"/>
          <w:numId w:val="4"/>
        </w:numPr>
        <w:ind w:left="1080"/>
      </w:pPr>
      <w:r>
        <w:t>Quels sont les impôts commerciaux auxquels l’association peut être exonérée</w:t>
      </w:r>
    </w:p>
    <w:p w:rsidR="00BF6804" w:rsidRPr="001A6CDF" w:rsidRDefault="00BF6804" w:rsidP="00DF7309">
      <w:pPr>
        <w:ind w:left="360"/>
        <w:rPr>
          <w:b/>
          <w:color w:val="E36C0A" w:themeColor="accent6" w:themeShade="BF"/>
        </w:rPr>
      </w:pPr>
      <w:r w:rsidRPr="001A6CDF">
        <w:rPr>
          <w:b/>
          <w:color w:val="E36C0A" w:themeColor="accent6" w:themeShade="BF"/>
        </w:rPr>
        <w:t>Quelle différence entre intérêt général et reconnaissance d’utilité publique (RUP)</w:t>
      </w:r>
    </w:p>
    <w:p w:rsidR="00487957" w:rsidRPr="001A6CDF" w:rsidRDefault="00487957" w:rsidP="00DF7309">
      <w:pPr>
        <w:ind w:left="360"/>
        <w:rPr>
          <w:b/>
          <w:color w:val="E36C0A" w:themeColor="accent6" w:themeShade="BF"/>
        </w:rPr>
      </w:pPr>
      <w:r w:rsidRPr="001A6CDF">
        <w:rPr>
          <w:b/>
          <w:color w:val="E36C0A" w:themeColor="accent6" w:themeShade="BF"/>
        </w:rPr>
        <w:t xml:space="preserve">Les particularités fiscales des associations : </w:t>
      </w:r>
    </w:p>
    <w:p w:rsidR="00487957" w:rsidRDefault="00487957" w:rsidP="00DF7309">
      <w:pPr>
        <w:pStyle w:val="Paragraphedeliste"/>
        <w:numPr>
          <w:ilvl w:val="0"/>
          <w:numId w:val="5"/>
        </w:numPr>
        <w:ind w:left="1080"/>
      </w:pPr>
      <w:r>
        <w:t xml:space="preserve">Franchise des impôts commerciaux et activité lucrative non prépondérante </w:t>
      </w:r>
    </w:p>
    <w:p w:rsidR="00487957" w:rsidRDefault="00487957" w:rsidP="00DF7309">
      <w:pPr>
        <w:pStyle w:val="Paragraphedeliste"/>
        <w:numPr>
          <w:ilvl w:val="0"/>
          <w:numId w:val="5"/>
        </w:numPr>
        <w:ind w:left="1080"/>
      </w:pPr>
      <w:r>
        <w:t>Règle concernant les manifestations exceptionnelles</w:t>
      </w:r>
    </w:p>
    <w:p w:rsidR="00487957" w:rsidRDefault="00487957" w:rsidP="00DF7309">
      <w:pPr>
        <w:pStyle w:val="Paragraphedeliste"/>
        <w:numPr>
          <w:ilvl w:val="0"/>
          <w:numId w:val="5"/>
        </w:numPr>
        <w:ind w:left="1080"/>
      </w:pPr>
      <w:r>
        <w:t xml:space="preserve">Les revenus patrimoniaux et le taux réduit d’imposition </w:t>
      </w:r>
    </w:p>
    <w:p w:rsidR="00487957" w:rsidRDefault="00487957" w:rsidP="00DF7309">
      <w:pPr>
        <w:pStyle w:val="Paragraphedeliste"/>
        <w:numPr>
          <w:ilvl w:val="0"/>
          <w:numId w:val="5"/>
        </w:numPr>
        <w:ind w:left="1080"/>
      </w:pPr>
      <w:r>
        <w:t xml:space="preserve">Les taxes spécifiques (taxe sur les salaires, taxe d’apprentissage,…) </w:t>
      </w:r>
    </w:p>
    <w:p w:rsidR="00487957" w:rsidRPr="001A6CDF" w:rsidRDefault="00487957" w:rsidP="00DF7309">
      <w:pPr>
        <w:ind w:left="360"/>
        <w:rPr>
          <w:b/>
          <w:color w:val="E36C0A" w:themeColor="accent6" w:themeShade="BF"/>
        </w:rPr>
      </w:pPr>
      <w:r w:rsidRPr="001A6CDF">
        <w:rPr>
          <w:b/>
          <w:color w:val="E36C0A" w:themeColor="accent6" w:themeShade="BF"/>
        </w:rPr>
        <w:t>La perception de dons et l’intérêt général de l’association</w:t>
      </w:r>
    </w:p>
    <w:p w:rsidR="00487957" w:rsidRDefault="00487957" w:rsidP="00DF7309">
      <w:pPr>
        <w:pStyle w:val="Paragraphedeliste"/>
        <w:numPr>
          <w:ilvl w:val="0"/>
          <w:numId w:val="8"/>
        </w:numPr>
        <w:ind w:left="1080"/>
      </w:pPr>
      <w:r>
        <w:t>Quelles sont les conditions pour percevoir des dons donnant droit à une réduction d’impôt</w:t>
      </w:r>
    </w:p>
    <w:p w:rsidR="00487957" w:rsidRDefault="00487957" w:rsidP="00DF7309">
      <w:pPr>
        <w:pStyle w:val="Paragraphedeliste"/>
        <w:numPr>
          <w:ilvl w:val="0"/>
          <w:numId w:val="8"/>
        </w:numPr>
        <w:ind w:left="1080"/>
      </w:pPr>
      <w:r>
        <w:t>Quels sont les avantages fiscaux pour les donateurs</w:t>
      </w:r>
    </w:p>
    <w:p w:rsidR="00487957" w:rsidRDefault="00487957" w:rsidP="00DF7309">
      <w:pPr>
        <w:pStyle w:val="Paragraphedeliste"/>
        <w:numPr>
          <w:ilvl w:val="0"/>
          <w:numId w:val="8"/>
        </w:numPr>
        <w:ind w:left="1080"/>
      </w:pPr>
      <w:r>
        <w:lastRenderedPageBreak/>
        <w:t>Quelles sont les conséquences en cas de perte de la gestion désintéressée ou de concurrence du secteur marchand</w:t>
      </w:r>
    </w:p>
    <w:p w:rsidR="00487957" w:rsidRPr="001A6CDF" w:rsidRDefault="00487957" w:rsidP="00DF7309">
      <w:pPr>
        <w:ind w:left="360"/>
        <w:rPr>
          <w:b/>
          <w:color w:val="E36C0A" w:themeColor="accent6" w:themeShade="BF"/>
        </w:rPr>
      </w:pPr>
      <w:r w:rsidRPr="001A6CDF">
        <w:rPr>
          <w:b/>
          <w:color w:val="E36C0A" w:themeColor="accent6" w:themeShade="BF"/>
        </w:rPr>
        <w:t xml:space="preserve">Que faire si l’association doit être soumise aux impôts commerciaux: </w:t>
      </w:r>
    </w:p>
    <w:p w:rsidR="00487957" w:rsidRDefault="00487957" w:rsidP="00DF7309">
      <w:pPr>
        <w:pStyle w:val="Paragraphedeliste"/>
        <w:numPr>
          <w:ilvl w:val="0"/>
          <w:numId w:val="6"/>
        </w:numPr>
        <w:ind w:left="1134"/>
      </w:pPr>
      <w:r>
        <w:t xml:space="preserve">La sectorisation de l’activité lucrative </w:t>
      </w:r>
    </w:p>
    <w:p w:rsidR="00487957" w:rsidRDefault="00487957" w:rsidP="00DF7309">
      <w:pPr>
        <w:pStyle w:val="Paragraphedeliste"/>
        <w:numPr>
          <w:ilvl w:val="0"/>
          <w:numId w:val="6"/>
        </w:numPr>
        <w:ind w:left="1134"/>
      </w:pPr>
      <w:r>
        <w:t xml:space="preserve">La filialisation de l’activité lucrative </w:t>
      </w:r>
    </w:p>
    <w:p w:rsidR="00487957" w:rsidRDefault="00487957" w:rsidP="00DF7309">
      <w:pPr>
        <w:pStyle w:val="Paragraphedeliste"/>
        <w:numPr>
          <w:ilvl w:val="0"/>
          <w:numId w:val="6"/>
        </w:numPr>
        <w:ind w:left="1134"/>
      </w:pPr>
      <w:r>
        <w:t xml:space="preserve">Se soumettre aux impôts commerciaux et les conséquences pour l’association </w:t>
      </w:r>
    </w:p>
    <w:p w:rsidR="00487957" w:rsidRPr="001A6CDF" w:rsidRDefault="00487957" w:rsidP="00DF7309">
      <w:pPr>
        <w:ind w:left="360"/>
        <w:rPr>
          <w:b/>
          <w:color w:val="E36C0A" w:themeColor="accent6" w:themeShade="BF"/>
        </w:rPr>
      </w:pPr>
      <w:r w:rsidRPr="001A6CDF">
        <w:rPr>
          <w:b/>
          <w:color w:val="E36C0A" w:themeColor="accent6" w:themeShade="BF"/>
        </w:rPr>
        <w:t xml:space="preserve">Analyse de rescrits fiscaux : </w:t>
      </w:r>
    </w:p>
    <w:p w:rsidR="00487957" w:rsidRDefault="00487957" w:rsidP="00DF7309">
      <w:pPr>
        <w:pStyle w:val="Paragraphedeliste"/>
        <w:numPr>
          <w:ilvl w:val="0"/>
          <w:numId w:val="7"/>
        </w:numPr>
        <w:ind w:left="1134"/>
      </w:pPr>
      <w:r>
        <w:t>Présentation et étude de rescrits fiscaux.</w:t>
      </w:r>
    </w:p>
    <w:p w:rsidR="00487957" w:rsidRDefault="00487957" w:rsidP="00487957"/>
    <w:p w:rsidR="001A6CDF" w:rsidRDefault="001A6CDF" w:rsidP="00487957">
      <w:r>
        <w:pict>
          <v:rect id="_x0000_i1025" style="width:0;height:1.5pt" o:hralign="center" o:hrstd="t" o:hr="t" fillcolor="#a0a0a0" stroked="f"/>
        </w:pict>
      </w:r>
    </w:p>
    <w:p w:rsidR="001A6CDF" w:rsidRPr="00487957" w:rsidRDefault="001A6CDF" w:rsidP="00487957"/>
    <w:sectPr w:rsidR="001A6CDF" w:rsidRPr="00487957" w:rsidSect="00EC241F">
      <w:footerReference w:type="default" r:id="rId8"/>
      <w:pgSz w:w="11906" w:h="16838"/>
      <w:pgMar w:top="993" w:right="1417" w:bottom="709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9A8" w:rsidRDefault="008109A8" w:rsidP="001A6CDF">
      <w:pPr>
        <w:spacing w:after="0" w:line="240" w:lineRule="auto"/>
      </w:pPr>
      <w:r>
        <w:separator/>
      </w:r>
    </w:p>
  </w:endnote>
  <w:endnote w:type="continuationSeparator" w:id="0">
    <w:p w:rsidR="008109A8" w:rsidRDefault="008109A8" w:rsidP="001A6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CDF" w:rsidRPr="001A6CDF" w:rsidRDefault="001A6CDF">
    <w:pPr>
      <w:pStyle w:val="Pieddepage"/>
      <w:pBdr>
        <w:top w:val="thinThickSmallGap" w:sz="24" w:space="1" w:color="622423" w:themeColor="accent2" w:themeShade="7F"/>
      </w:pBdr>
      <w:rPr>
        <w:rFonts w:ascii="Segoe UI Black" w:eastAsiaTheme="majorEastAsia" w:hAnsi="Segoe UI Black" w:cstheme="majorBidi"/>
        <w:b/>
        <w:color w:val="548DD4" w:themeColor="text2" w:themeTint="99"/>
        <w:sz w:val="18"/>
      </w:rPr>
    </w:pPr>
    <w:r w:rsidRPr="001A6CDF">
      <w:rPr>
        <w:rFonts w:ascii="Segoe UI Black" w:eastAsiaTheme="majorEastAsia" w:hAnsi="Segoe UI Black" w:cstheme="majorBidi"/>
        <w:b/>
        <w:color w:val="548DD4" w:themeColor="text2" w:themeTint="99"/>
        <w:sz w:val="18"/>
      </w:rPr>
      <w:t>FORMA-LEARN Formations</w:t>
    </w:r>
    <w:r w:rsidRPr="001A6CDF">
      <w:rPr>
        <w:rFonts w:ascii="Segoe UI Black" w:eastAsiaTheme="majorEastAsia" w:hAnsi="Segoe UI Black" w:cstheme="majorBidi"/>
        <w:b/>
        <w:color w:val="548DD4" w:themeColor="text2" w:themeTint="99"/>
        <w:sz w:val="18"/>
      </w:rPr>
      <w:ptab w:relativeTo="margin" w:alignment="right" w:leader="none"/>
    </w:r>
    <w:r w:rsidRPr="001A6CDF">
      <w:rPr>
        <w:rFonts w:ascii="Segoe UI Black" w:eastAsiaTheme="majorEastAsia" w:hAnsi="Segoe UI Black" w:cstheme="majorBidi"/>
        <w:b/>
        <w:color w:val="548DD4" w:themeColor="text2" w:themeTint="99"/>
        <w:sz w:val="18"/>
      </w:rPr>
      <w:t xml:space="preserve">Page </w:t>
    </w:r>
    <w:r w:rsidRPr="001A6CDF">
      <w:rPr>
        <w:rFonts w:ascii="Segoe UI Black" w:eastAsiaTheme="minorEastAsia" w:hAnsi="Segoe UI Black"/>
        <w:b/>
        <w:color w:val="548DD4" w:themeColor="text2" w:themeTint="99"/>
        <w:sz w:val="18"/>
      </w:rPr>
      <w:fldChar w:fldCharType="begin"/>
    </w:r>
    <w:r w:rsidRPr="001A6CDF">
      <w:rPr>
        <w:rFonts w:ascii="Segoe UI Black" w:hAnsi="Segoe UI Black"/>
        <w:b/>
        <w:color w:val="548DD4" w:themeColor="text2" w:themeTint="99"/>
        <w:sz w:val="18"/>
      </w:rPr>
      <w:instrText>PAGE   \* MERGEFORMAT</w:instrText>
    </w:r>
    <w:r w:rsidRPr="001A6CDF">
      <w:rPr>
        <w:rFonts w:ascii="Segoe UI Black" w:eastAsiaTheme="minorEastAsia" w:hAnsi="Segoe UI Black"/>
        <w:b/>
        <w:color w:val="548DD4" w:themeColor="text2" w:themeTint="99"/>
        <w:sz w:val="18"/>
      </w:rPr>
      <w:fldChar w:fldCharType="separate"/>
    </w:r>
    <w:r w:rsidR="00EC241F" w:rsidRPr="00EC241F">
      <w:rPr>
        <w:rFonts w:ascii="Segoe UI Black" w:eastAsiaTheme="majorEastAsia" w:hAnsi="Segoe UI Black" w:cstheme="majorBidi"/>
        <w:b/>
        <w:noProof/>
        <w:color w:val="548DD4" w:themeColor="text2" w:themeTint="99"/>
        <w:sz w:val="18"/>
      </w:rPr>
      <w:t>1</w:t>
    </w:r>
    <w:r w:rsidRPr="001A6CDF">
      <w:rPr>
        <w:rFonts w:ascii="Segoe UI Black" w:eastAsiaTheme="majorEastAsia" w:hAnsi="Segoe UI Black" w:cstheme="majorBidi"/>
        <w:b/>
        <w:color w:val="548DD4" w:themeColor="text2" w:themeTint="99"/>
        <w:sz w:val="18"/>
      </w:rPr>
      <w:fldChar w:fldCharType="end"/>
    </w:r>
  </w:p>
  <w:p w:rsidR="001A6CDF" w:rsidRPr="001A6CDF" w:rsidRDefault="001A6CDF">
    <w:pPr>
      <w:pStyle w:val="Pieddepage"/>
      <w:rPr>
        <w:rFonts w:ascii="Segoe UI Black" w:hAnsi="Segoe UI Black"/>
        <w:b/>
        <w:color w:val="548DD4" w:themeColor="text2" w:themeTint="9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9A8" w:rsidRDefault="008109A8" w:rsidP="001A6CDF">
      <w:pPr>
        <w:spacing w:after="0" w:line="240" w:lineRule="auto"/>
      </w:pPr>
      <w:r>
        <w:separator/>
      </w:r>
    </w:p>
  </w:footnote>
  <w:footnote w:type="continuationSeparator" w:id="0">
    <w:p w:rsidR="008109A8" w:rsidRDefault="008109A8" w:rsidP="001A6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0BE9"/>
    <w:multiLevelType w:val="hybridMultilevel"/>
    <w:tmpl w:val="599AD17E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17AE3204"/>
    <w:multiLevelType w:val="hybridMultilevel"/>
    <w:tmpl w:val="B61CDDC0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1F6A550C"/>
    <w:multiLevelType w:val="hybridMultilevel"/>
    <w:tmpl w:val="F678F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84A95"/>
    <w:multiLevelType w:val="hybridMultilevel"/>
    <w:tmpl w:val="D1B21A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32B9B"/>
    <w:multiLevelType w:val="hybridMultilevel"/>
    <w:tmpl w:val="444A3D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B4DD9"/>
    <w:multiLevelType w:val="hybridMultilevel"/>
    <w:tmpl w:val="8F227F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80B41"/>
    <w:multiLevelType w:val="hybridMultilevel"/>
    <w:tmpl w:val="FB50B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4683C"/>
    <w:multiLevelType w:val="hybridMultilevel"/>
    <w:tmpl w:val="0D1EA5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57"/>
    <w:rsid w:val="00083687"/>
    <w:rsid w:val="000D6F75"/>
    <w:rsid w:val="001A6CDF"/>
    <w:rsid w:val="00487957"/>
    <w:rsid w:val="007C2702"/>
    <w:rsid w:val="008109A8"/>
    <w:rsid w:val="009E181F"/>
    <w:rsid w:val="00BF6804"/>
    <w:rsid w:val="00DF7309"/>
    <w:rsid w:val="00EC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87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8795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oesz">
    <w:name w:val="oesz"/>
    <w:basedOn w:val="Policepardfaut"/>
    <w:rsid w:val="00487957"/>
  </w:style>
  <w:style w:type="character" w:styleId="Lienhypertexte">
    <w:name w:val="Hyperlink"/>
    <w:basedOn w:val="Policepardfaut"/>
    <w:uiPriority w:val="99"/>
    <w:semiHidden/>
    <w:unhideWhenUsed/>
    <w:rsid w:val="00487957"/>
    <w:rPr>
      <w:color w:val="0000FF"/>
      <w:u w:val="single"/>
    </w:rPr>
  </w:style>
  <w:style w:type="character" w:customStyle="1" w:styleId="contentbox">
    <w:name w:val="contentbox"/>
    <w:basedOn w:val="Policepardfaut"/>
    <w:rsid w:val="00487957"/>
  </w:style>
  <w:style w:type="character" w:customStyle="1" w:styleId="apple-converted-space">
    <w:name w:val="apple-converted-space"/>
    <w:basedOn w:val="Policepardfaut"/>
    <w:rsid w:val="00487957"/>
  </w:style>
  <w:style w:type="paragraph" w:styleId="Textedebulles">
    <w:name w:val="Balloon Text"/>
    <w:basedOn w:val="Normal"/>
    <w:link w:val="TextedebullesCar"/>
    <w:uiPriority w:val="99"/>
    <w:semiHidden/>
    <w:unhideWhenUsed/>
    <w:rsid w:val="0048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95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879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A6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6CDF"/>
  </w:style>
  <w:style w:type="paragraph" w:styleId="Pieddepage">
    <w:name w:val="footer"/>
    <w:basedOn w:val="Normal"/>
    <w:link w:val="PieddepageCar"/>
    <w:uiPriority w:val="99"/>
    <w:unhideWhenUsed/>
    <w:rsid w:val="001A6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6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87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8795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oesz">
    <w:name w:val="oesz"/>
    <w:basedOn w:val="Policepardfaut"/>
    <w:rsid w:val="00487957"/>
  </w:style>
  <w:style w:type="character" w:styleId="Lienhypertexte">
    <w:name w:val="Hyperlink"/>
    <w:basedOn w:val="Policepardfaut"/>
    <w:uiPriority w:val="99"/>
    <w:semiHidden/>
    <w:unhideWhenUsed/>
    <w:rsid w:val="00487957"/>
    <w:rPr>
      <w:color w:val="0000FF"/>
      <w:u w:val="single"/>
    </w:rPr>
  </w:style>
  <w:style w:type="character" w:customStyle="1" w:styleId="contentbox">
    <w:name w:val="contentbox"/>
    <w:basedOn w:val="Policepardfaut"/>
    <w:rsid w:val="00487957"/>
  </w:style>
  <w:style w:type="character" w:customStyle="1" w:styleId="apple-converted-space">
    <w:name w:val="apple-converted-space"/>
    <w:basedOn w:val="Policepardfaut"/>
    <w:rsid w:val="00487957"/>
  </w:style>
  <w:style w:type="paragraph" w:styleId="Textedebulles">
    <w:name w:val="Balloon Text"/>
    <w:basedOn w:val="Normal"/>
    <w:link w:val="TextedebullesCar"/>
    <w:uiPriority w:val="99"/>
    <w:semiHidden/>
    <w:unhideWhenUsed/>
    <w:rsid w:val="0048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95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879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A6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6CDF"/>
  </w:style>
  <w:style w:type="paragraph" w:styleId="Pieddepage">
    <w:name w:val="footer"/>
    <w:basedOn w:val="Normal"/>
    <w:link w:val="PieddepageCar"/>
    <w:uiPriority w:val="99"/>
    <w:unhideWhenUsed/>
    <w:rsid w:val="001A6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6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122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6" w:color="auto"/>
            <w:bottom w:val="none" w:sz="0" w:space="16" w:color="auto"/>
            <w:right w:val="none" w:sz="0" w:space="21" w:color="auto"/>
          </w:divBdr>
        </w:div>
        <w:div w:id="57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8227">
          <w:marLeft w:val="0"/>
          <w:marRight w:val="0"/>
          <w:marTop w:val="0"/>
          <w:marBottom w:val="0"/>
          <w:divBdr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divBdr>
          <w:divsChild>
            <w:div w:id="20457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6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7866">
          <w:marLeft w:val="0"/>
          <w:marRight w:val="0"/>
          <w:marTop w:val="0"/>
          <w:marBottom w:val="0"/>
          <w:divBdr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divBdr>
          <w:divsChild>
            <w:div w:id="6292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11012">
          <w:marLeft w:val="0"/>
          <w:marRight w:val="0"/>
          <w:marTop w:val="0"/>
          <w:marBottom w:val="0"/>
          <w:divBdr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divBdr>
          <w:divsChild>
            <w:div w:id="938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5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22770">
          <w:marLeft w:val="0"/>
          <w:marRight w:val="0"/>
          <w:marTop w:val="0"/>
          <w:marBottom w:val="0"/>
          <w:divBdr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divBdr>
          <w:divsChild>
            <w:div w:id="344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GDC</dc:creator>
  <cp:lastModifiedBy>test</cp:lastModifiedBy>
  <cp:revision>7</cp:revision>
  <dcterms:created xsi:type="dcterms:W3CDTF">2014-12-22T08:30:00Z</dcterms:created>
  <dcterms:modified xsi:type="dcterms:W3CDTF">2015-11-20T16:00:00Z</dcterms:modified>
</cp:coreProperties>
</file>